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B50" w:rsidRPr="00DD5E13" w:rsidRDefault="00132B50" w:rsidP="00132B50">
      <w:pPr>
        <w:jc w:val="center"/>
        <w:rPr>
          <w:rFonts w:ascii="Times New Roman" w:hAnsi="Times New Roman" w:cs="Times New Roman"/>
          <w:sz w:val="20"/>
          <w:szCs w:val="20"/>
        </w:rPr>
      </w:pPr>
      <w:r w:rsidRPr="00DD5E13">
        <w:rPr>
          <w:rFonts w:ascii="Times New Roman" w:hAnsi="Times New Roman" w:cs="Times New Roman"/>
          <w:sz w:val="20"/>
          <w:szCs w:val="20"/>
        </w:rPr>
        <w:t>Практика № 7.</w:t>
      </w:r>
    </w:p>
    <w:p w:rsidR="00132B50" w:rsidRPr="00DD5E13" w:rsidRDefault="00132B50">
      <w:pPr>
        <w:rPr>
          <w:rFonts w:ascii="Times New Roman" w:hAnsi="Times New Roman" w:cs="Times New Roman"/>
          <w:sz w:val="20"/>
          <w:szCs w:val="20"/>
        </w:rPr>
      </w:pPr>
      <w:r w:rsidRPr="00DD5E13">
        <w:rPr>
          <w:rFonts w:ascii="Times New Roman" w:hAnsi="Times New Roman" w:cs="Times New Roman"/>
          <w:b/>
          <w:sz w:val="20"/>
          <w:szCs w:val="20"/>
        </w:rPr>
        <w:t>Тема</w:t>
      </w:r>
      <w:r w:rsidRPr="00DD5E13">
        <w:rPr>
          <w:rFonts w:ascii="Times New Roman" w:hAnsi="Times New Roman" w:cs="Times New Roman"/>
          <w:sz w:val="20"/>
          <w:szCs w:val="20"/>
        </w:rPr>
        <w:t>: Механизмы действия ферментов.</w:t>
      </w:r>
    </w:p>
    <w:p w:rsidR="00132B50" w:rsidRPr="00DD5E13" w:rsidRDefault="00132B50">
      <w:pPr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D5E13">
        <w:rPr>
          <w:rFonts w:ascii="Times New Roman" w:hAnsi="Times New Roman" w:cs="Times New Roman"/>
          <w:b/>
          <w:sz w:val="20"/>
          <w:szCs w:val="20"/>
        </w:rPr>
        <w:t>Цель</w:t>
      </w:r>
      <w:r w:rsidRPr="00DD5E13">
        <w:rPr>
          <w:rFonts w:ascii="Times New Roman" w:hAnsi="Times New Roman" w:cs="Times New Roman"/>
          <w:sz w:val="20"/>
          <w:szCs w:val="20"/>
        </w:rPr>
        <w:t xml:space="preserve">: </w:t>
      </w:r>
      <w:r w:rsidRPr="00DD5E13">
        <w:rPr>
          <w:rFonts w:ascii="Times New Roman" w:hAnsi="Times New Roman" w:cs="Times New Roman"/>
          <w:sz w:val="20"/>
          <w:szCs w:val="20"/>
          <w:shd w:val="clear" w:color="auto" w:fill="FFFFFF"/>
        </w:rPr>
        <w:t>изучить механизмы</w:t>
      </w:r>
      <w:r w:rsidRPr="00DD5E13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лежащих в основе каталитического действия </w:t>
      </w:r>
      <w:proofErr w:type="spellStart"/>
      <w:r w:rsidRPr="00DD5E13">
        <w:rPr>
          <w:rFonts w:ascii="Times New Roman" w:hAnsi="Times New Roman" w:cs="Times New Roman"/>
          <w:sz w:val="20"/>
          <w:szCs w:val="20"/>
          <w:shd w:val="clear" w:color="auto" w:fill="FFFFFF"/>
        </w:rPr>
        <w:t>энзимов</w:t>
      </w:r>
      <w:proofErr w:type="spellEnd"/>
      <w:r w:rsidRPr="00DD5E13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</w:p>
    <w:p w:rsidR="00132B50" w:rsidRPr="00DD5E13" w:rsidRDefault="00132B50" w:rsidP="00DD5E13">
      <w:pPr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DD5E13">
        <w:rPr>
          <w:rFonts w:ascii="Times New Roman" w:hAnsi="Times New Roman" w:cs="Times New Roman"/>
          <w:sz w:val="20"/>
          <w:szCs w:val="20"/>
          <w:shd w:val="clear" w:color="auto" w:fill="FFFFFF"/>
        </w:rPr>
        <w:t>План</w:t>
      </w:r>
    </w:p>
    <w:p w:rsidR="00132B50" w:rsidRPr="00DD5E13" w:rsidRDefault="00132B50" w:rsidP="00132B5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DD5E13">
        <w:rPr>
          <w:rFonts w:ascii="Times New Roman" w:hAnsi="Times New Roman" w:cs="Times New Roman"/>
          <w:sz w:val="20"/>
          <w:szCs w:val="20"/>
        </w:rPr>
        <w:t>Теория Фишера (ключ-замок)</w:t>
      </w:r>
    </w:p>
    <w:p w:rsidR="00132B50" w:rsidRPr="00DD5E13" w:rsidRDefault="00132B50" w:rsidP="00132B5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DD5E13">
        <w:rPr>
          <w:rStyle w:val="bluefat"/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Теория </w:t>
      </w:r>
      <w:proofErr w:type="spellStart"/>
      <w:r w:rsidRPr="00DD5E13">
        <w:rPr>
          <w:rStyle w:val="bluefat"/>
          <w:rFonts w:ascii="Times New Roman" w:hAnsi="Times New Roman" w:cs="Times New Roman"/>
          <w:bCs/>
          <w:sz w:val="20"/>
          <w:szCs w:val="20"/>
          <w:shd w:val="clear" w:color="auto" w:fill="FFFFFF"/>
        </w:rPr>
        <w:t>Кошланда</w:t>
      </w:r>
      <w:proofErr w:type="spellEnd"/>
      <w:r w:rsidRPr="00DD5E13">
        <w:rPr>
          <w:rFonts w:ascii="Times New Roman" w:hAnsi="Times New Roman" w:cs="Times New Roman"/>
          <w:sz w:val="20"/>
          <w:szCs w:val="20"/>
          <w:shd w:val="clear" w:color="auto" w:fill="FFFFFF"/>
        </w:rPr>
        <w:t> (модель "индуцированного соответствия", "рука-перчатка")</w:t>
      </w:r>
      <w:bookmarkStart w:id="0" w:name="_GoBack"/>
      <w:bookmarkEnd w:id="0"/>
    </w:p>
    <w:p w:rsidR="00DD5E13" w:rsidRPr="00DD5E13" w:rsidRDefault="00DD5E13" w:rsidP="00132B5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DD5E13">
        <w:rPr>
          <w:rFonts w:ascii="Times New Roman" w:hAnsi="Times New Roman" w:cs="Times New Roman"/>
          <w:sz w:val="20"/>
          <w:szCs w:val="20"/>
        </w:rPr>
        <w:t>Концепции «дыбы» и «лилипутов»</w:t>
      </w:r>
    </w:p>
    <w:p w:rsidR="00053EB4" w:rsidRPr="00DD5E13" w:rsidRDefault="007963C9">
      <w:pPr>
        <w:rPr>
          <w:rFonts w:ascii="Times New Roman" w:hAnsi="Times New Roman" w:cs="Times New Roman"/>
          <w:sz w:val="20"/>
          <w:szCs w:val="20"/>
        </w:rPr>
      </w:pPr>
      <w:r w:rsidRPr="00DD5E13">
        <w:rPr>
          <w:rFonts w:ascii="Times New Roman" w:hAnsi="Times New Roman" w:cs="Times New Roman"/>
          <w:sz w:val="20"/>
          <w:szCs w:val="20"/>
        </w:rPr>
        <w:t xml:space="preserve">До установления химической природы ферментов гипотезы о механизме их действия опирались на исследования кинетики и модельные опыты химического гомогенного катализа. Повышение скорости химических реакций под действием ферментов объясняли следующим: а) активированием субстрата в результате образования адсорбционных или молекулярных, обратимо </w:t>
      </w:r>
      <w:proofErr w:type="spellStart"/>
      <w:r w:rsidRPr="00DD5E13">
        <w:rPr>
          <w:rFonts w:ascii="Times New Roman" w:hAnsi="Times New Roman" w:cs="Times New Roman"/>
          <w:sz w:val="20"/>
          <w:szCs w:val="20"/>
        </w:rPr>
        <w:t>диссоциирующих</w:t>
      </w:r>
      <w:proofErr w:type="spellEnd"/>
      <w:r w:rsidRPr="00DD5E13">
        <w:rPr>
          <w:rFonts w:ascii="Times New Roman" w:hAnsi="Times New Roman" w:cs="Times New Roman"/>
          <w:sz w:val="20"/>
          <w:szCs w:val="20"/>
        </w:rPr>
        <w:t xml:space="preserve"> фермент-субстратных комплексов; б) цепным механизмом реакций с участием радикалов или возбужденных молекул. Оказалось, что цепные механизмы реакции не играют существенной роли в биологическом катализе. После установления химической природы ферментов подтвердилось представление, выдвинутое более 80 лет назад В. Анри, Л. </w:t>
      </w:r>
      <w:proofErr w:type="spellStart"/>
      <w:r w:rsidRPr="00DD5E13">
        <w:rPr>
          <w:rFonts w:ascii="Times New Roman" w:hAnsi="Times New Roman" w:cs="Times New Roman"/>
          <w:sz w:val="20"/>
          <w:szCs w:val="20"/>
        </w:rPr>
        <w:t>Михаэлисом</w:t>
      </w:r>
      <w:proofErr w:type="spellEnd"/>
      <w:r w:rsidRPr="00DD5E13">
        <w:rPr>
          <w:rFonts w:ascii="Times New Roman" w:hAnsi="Times New Roman" w:cs="Times New Roman"/>
          <w:sz w:val="20"/>
          <w:szCs w:val="20"/>
        </w:rPr>
        <w:t xml:space="preserve"> и М. </w:t>
      </w:r>
      <w:proofErr w:type="spellStart"/>
      <w:r w:rsidRPr="00DD5E13">
        <w:rPr>
          <w:rFonts w:ascii="Times New Roman" w:hAnsi="Times New Roman" w:cs="Times New Roman"/>
          <w:sz w:val="20"/>
          <w:szCs w:val="20"/>
        </w:rPr>
        <w:t>Ментен</w:t>
      </w:r>
      <w:proofErr w:type="spellEnd"/>
      <w:r w:rsidRPr="00DD5E13">
        <w:rPr>
          <w:rFonts w:ascii="Times New Roman" w:hAnsi="Times New Roman" w:cs="Times New Roman"/>
          <w:sz w:val="20"/>
          <w:szCs w:val="20"/>
        </w:rPr>
        <w:t xml:space="preserve">, о том, что при </w:t>
      </w:r>
      <w:proofErr w:type="spellStart"/>
      <w:r w:rsidRPr="00DD5E13">
        <w:rPr>
          <w:rFonts w:ascii="Times New Roman" w:hAnsi="Times New Roman" w:cs="Times New Roman"/>
          <w:sz w:val="20"/>
          <w:szCs w:val="20"/>
        </w:rPr>
        <w:t>энзиматическом</w:t>
      </w:r>
      <w:proofErr w:type="spellEnd"/>
      <w:r w:rsidRPr="00DD5E13">
        <w:rPr>
          <w:rFonts w:ascii="Times New Roman" w:hAnsi="Times New Roman" w:cs="Times New Roman"/>
          <w:sz w:val="20"/>
          <w:szCs w:val="20"/>
        </w:rPr>
        <w:t xml:space="preserve"> катализе фермент Е соединяется (в принципе обратимо) со своим субстратом S, образуя нестойкий промежуточный фермент-субстратный комплекс ES, который в конце реакции распадается с освобождением фермента и продуктов реакции Р. Благодаря высокому сродству связывания и образованию ES-комплекса резко возрастает число молекул субстрата, вступающих в реакции. Эти представления легли в основу теории «ключа-замка» Э. Фишера, которую иногда называют теорией «жесткой матрицы».</w:t>
      </w:r>
    </w:p>
    <w:p w:rsidR="007963C9" w:rsidRPr="00DD5E13" w:rsidRDefault="007963C9" w:rsidP="007963C9">
      <w:pPr>
        <w:pStyle w:val="a3"/>
        <w:rPr>
          <w:sz w:val="20"/>
          <w:szCs w:val="20"/>
        </w:rPr>
      </w:pPr>
      <w:r w:rsidRPr="00DD5E13">
        <w:rPr>
          <w:noProof/>
          <w:sz w:val="20"/>
          <w:szCs w:val="20"/>
        </w:rPr>
        <w:lastRenderedPageBreak/>
        <w:drawing>
          <wp:inline distT="0" distB="0" distL="0" distR="0" wp14:anchorId="7199DC02" wp14:editId="369A297F">
            <wp:extent cx="2444261" cy="2867773"/>
            <wp:effectExtent l="0" t="0" r="0" b="8890"/>
            <wp:docPr id="1" name="Рисунок 1" descr="C:\Users\Пользователь\Desktop\img-264B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img-264BkQ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50" cy="2877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E13">
        <w:rPr>
          <w:sz w:val="20"/>
          <w:szCs w:val="20"/>
        </w:rPr>
        <w:t>E-S-комплекс — это “активированное” состояние, ведущее к образованию продуктов реакции. Образовавшиеся продукты по форме уже не соответствуют активному центру. Они отделяются от него (поступают в окружающую среду), после чего освободившийся активный центр может принимать новые молекулы субстрата.</w:t>
      </w:r>
    </w:p>
    <w:p w:rsidR="007963C9" w:rsidRPr="00DD5E13" w:rsidRDefault="007963C9" w:rsidP="007963C9">
      <w:pPr>
        <w:pStyle w:val="a3"/>
        <w:spacing w:before="150" w:beforeAutospacing="0" w:after="150" w:afterAutospacing="0"/>
        <w:ind w:left="150" w:right="150"/>
        <w:jc w:val="both"/>
        <w:rPr>
          <w:rStyle w:val="a4"/>
          <w:sz w:val="20"/>
          <w:szCs w:val="20"/>
        </w:rPr>
      </w:pPr>
      <w:r w:rsidRPr="00DD5E13">
        <w:rPr>
          <w:noProof/>
          <w:sz w:val="20"/>
          <w:szCs w:val="20"/>
        </w:rPr>
        <w:drawing>
          <wp:inline distT="0" distB="0" distL="0" distR="0" wp14:anchorId="5336AED9" wp14:editId="73DEA022">
            <wp:extent cx="3861791" cy="1345223"/>
            <wp:effectExtent l="0" t="0" r="5715" b="7620"/>
            <wp:docPr id="2" name="Рисунок 2" descr="C:\Users\Пользователь\Desktop\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image04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500" cy="137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3C9" w:rsidRPr="00DD5E13" w:rsidRDefault="007963C9" w:rsidP="007963C9">
      <w:pPr>
        <w:pStyle w:val="a3"/>
        <w:spacing w:before="150" w:beforeAutospacing="0" w:after="150" w:afterAutospacing="0"/>
        <w:ind w:left="150" w:right="150"/>
        <w:jc w:val="both"/>
        <w:rPr>
          <w:sz w:val="20"/>
          <w:szCs w:val="20"/>
        </w:rPr>
      </w:pPr>
      <w:r w:rsidRPr="00DD5E13">
        <w:rPr>
          <w:rStyle w:val="a4"/>
          <w:sz w:val="20"/>
          <w:szCs w:val="20"/>
        </w:rPr>
        <w:t xml:space="preserve">Д. </w:t>
      </w:r>
      <w:proofErr w:type="spellStart"/>
      <w:r w:rsidRPr="00DD5E13">
        <w:rPr>
          <w:rStyle w:val="a4"/>
          <w:sz w:val="20"/>
          <w:szCs w:val="20"/>
        </w:rPr>
        <w:t>Кошлендом</w:t>
      </w:r>
      <w:proofErr w:type="spellEnd"/>
      <w:r w:rsidRPr="00DD5E13">
        <w:rPr>
          <w:sz w:val="20"/>
          <w:szCs w:val="20"/>
        </w:rPr>
        <w:t> была разработана </w:t>
      </w:r>
      <w:r w:rsidRPr="00DD5E13">
        <w:rPr>
          <w:rStyle w:val="a4"/>
          <w:sz w:val="20"/>
          <w:szCs w:val="20"/>
        </w:rPr>
        <w:t>теория «индуцированного соответствия» (1958)</w:t>
      </w:r>
      <w:r w:rsidRPr="00DD5E13">
        <w:rPr>
          <w:sz w:val="20"/>
          <w:szCs w:val="20"/>
        </w:rPr>
        <w:t>. Пространственное соответствие структуры субстрата и активного центра фермента создается в момент их взаимодействия друг с другом, что может быть выражено формулой </w:t>
      </w:r>
      <w:r w:rsidRPr="00DD5E13">
        <w:rPr>
          <w:rStyle w:val="a4"/>
          <w:sz w:val="20"/>
          <w:szCs w:val="20"/>
        </w:rPr>
        <w:t>«перчатка — рука».</w:t>
      </w:r>
      <w:r w:rsidRPr="00DD5E13">
        <w:rPr>
          <w:sz w:val="20"/>
          <w:szCs w:val="20"/>
        </w:rPr>
        <w:t xml:space="preserve"> Субстрат индуцирует конформационные изменения молекулы фермента таким образом, что активный центр принимает необходимую для связывания субстрата пространственную ориентацию. Т.е. фермент только в момент присоединения </w:t>
      </w:r>
      <w:r w:rsidRPr="00DD5E13">
        <w:rPr>
          <w:sz w:val="20"/>
          <w:szCs w:val="20"/>
        </w:rPr>
        <w:lastRenderedPageBreak/>
        <w:t>субстрата будет находиться в активной (напряженной) Т-форме (</w:t>
      </w:r>
      <w:proofErr w:type="spellStart"/>
      <w:r w:rsidRPr="00DD5E13">
        <w:rPr>
          <w:sz w:val="20"/>
          <w:szCs w:val="20"/>
        </w:rPr>
        <w:t>tensile</w:t>
      </w:r>
      <w:proofErr w:type="spellEnd"/>
      <w:r w:rsidRPr="00DD5E13">
        <w:rPr>
          <w:sz w:val="20"/>
          <w:szCs w:val="20"/>
        </w:rPr>
        <w:t>) в отличие от неактивной R-формы (</w:t>
      </w:r>
      <w:proofErr w:type="spellStart"/>
      <w:r w:rsidRPr="00DD5E13">
        <w:rPr>
          <w:sz w:val="20"/>
          <w:szCs w:val="20"/>
        </w:rPr>
        <w:t>relaxe</w:t>
      </w:r>
      <w:proofErr w:type="spellEnd"/>
      <w:r w:rsidRPr="00DD5E13">
        <w:rPr>
          <w:sz w:val="20"/>
          <w:szCs w:val="20"/>
        </w:rPr>
        <w:t>).</w:t>
      </w:r>
    </w:p>
    <w:p w:rsidR="001E2238" w:rsidRPr="00DD5E13" w:rsidRDefault="007963C9" w:rsidP="001E2238">
      <w:pPr>
        <w:pStyle w:val="a3"/>
        <w:spacing w:before="150" w:beforeAutospacing="0" w:after="150" w:afterAutospacing="0"/>
        <w:ind w:left="150" w:right="150"/>
        <w:jc w:val="both"/>
        <w:rPr>
          <w:sz w:val="20"/>
          <w:szCs w:val="20"/>
        </w:rPr>
      </w:pPr>
      <w:r w:rsidRPr="00DD5E13">
        <w:rPr>
          <w:sz w:val="20"/>
          <w:szCs w:val="20"/>
        </w:rPr>
        <w:t xml:space="preserve">В настоящее время гипотеза </w:t>
      </w:r>
      <w:proofErr w:type="spellStart"/>
      <w:r w:rsidRPr="00DD5E13">
        <w:rPr>
          <w:sz w:val="20"/>
          <w:szCs w:val="20"/>
        </w:rPr>
        <w:t>Кошланда</w:t>
      </w:r>
      <w:proofErr w:type="spellEnd"/>
      <w:r w:rsidRPr="00DD5E13">
        <w:rPr>
          <w:sz w:val="20"/>
          <w:szCs w:val="20"/>
        </w:rPr>
        <w:t xml:space="preserve"> постепенно вытесняется </w:t>
      </w:r>
      <w:r w:rsidRPr="00DD5E13">
        <w:rPr>
          <w:rStyle w:val="a4"/>
          <w:sz w:val="20"/>
          <w:szCs w:val="20"/>
        </w:rPr>
        <w:t xml:space="preserve">гипотезой топохимического </w:t>
      </w:r>
      <w:proofErr w:type="spellStart"/>
      <w:r w:rsidRPr="00DD5E13">
        <w:rPr>
          <w:rStyle w:val="a4"/>
          <w:sz w:val="20"/>
          <w:szCs w:val="20"/>
        </w:rPr>
        <w:t>соответствия.</w:t>
      </w:r>
      <w:r w:rsidRPr="00DD5E13">
        <w:rPr>
          <w:sz w:val="20"/>
          <w:szCs w:val="20"/>
        </w:rPr>
        <w:t>Сохраняя</w:t>
      </w:r>
      <w:proofErr w:type="spellEnd"/>
      <w:r w:rsidRPr="00DD5E13">
        <w:rPr>
          <w:sz w:val="20"/>
          <w:szCs w:val="20"/>
        </w:rPr>
        <w:t xml:space="preserve"> основные положения теории «индуцированного соответствия», она объясняет специфичность действия ферментов узнаванием той части субстрата, которая не изменяется при катализе.</w:t>
      </w:r>
    </w:p>
    <w:p w:rsidR="007963C9" w:rsidRPr="00DD5E13" w:rsidRDefault="007963C9" w:rsidP="001E2238">
      <w:pPr>
        <w:pStyle w:val="a3"/>
        <w:spacing w:before="150" w:beforeAutospacing="0" w:after="150" w:afterAutospacing="0"/>
        <w:ind w:left="150" w:right="150"/>
        <w:jc w:val="both"/>
        <w:rPr>
          <w:sz w:val="20"/>
          <w:szCs w:val="20"/>
        </w:rPr>
      </w:pPr>
      <w:r w:rsidRPr="00DD5E13">
        <w:rPr>
          <w:sz w:val="20"/>
          <w:szCs w:val="20"/>
        </w:rPr>
        <w:t>Подобно другим катализаторам, ферменты, с термодинамической точки зрения, ускоряют химические реакции за счет снижения энергии активации.</w:t>
      </w:r>
    </w:p>
    <w:p w:rsidR="00DD5E13" w:rsidRPr="00DD5E13" w:rsidRDefault="00DD5E13" w:rsidP="00DD5E13">
      <w:pPr>
        <w:pStyle w:val="a3"/>
        <w:spacing w:before="150" w:beforeAutospacing="0" w:after="150" w:afterAutospacing="0"/>
        <w:ind w:left="150" w:right="150"/>
        <w:jc w:val="both"/>
        <w:rPr>
          <w:sz w:val="20"/>
          <w:szCs w:val="20"/>
        </w:rPr>
      </w:pPr>
      <w:r w:rsidRPr="00DD5E13">
        <w:rPr>
          <w:sz w:val="20"/>
          <w:szCs w:val="20"/>
        </w:rPr>
        <w:t>В 1954 году была предложена гипотеза связывающая механизм ферментативного каталитического акта с деформацией и напряжением молекулы субстрата при ее сорбции в активном центра фермента.</w:t>
      </w:r>
      <w:r w:rsidRPr="00DD5E13">
        <w:rPr>
          <w:rFonts w:ascii="Verdana" w:hAnsi="Verdana"/>
          <w:sz w:val="21"/>
          <w:szCs w:val="21"/>
        </w:rPr>
        <w:t xml:space="preserve"> </w:t>
      </w:r>
      <w:r w:rsidRPr="00DD5E13">
        <w:rPr>
          <w:sz w:val="20"/>
          <w:szCs w:val="20"/>
        </w:rPr>
        <w:t>Эта гипотеза вошла в науку под названием концепции «</w:t>
      </w:r>
      <w:r w:rsidRPr="00DD5E13">
        <w:rPr>
          <w:b/>
          <w:bCs/>
          <w:sz w:val="20"/>
          <w:szCs w:val="20"/>
        </w:rPr>
        <w:t>дыбы</w:t>
      </w:r>
      <w:r w:rsidRPr="00DD5E13">
        <w:rPr>
          <w:sz w:val="20"/>
          <w:szCs w:val="20"/>
        </w:rPr>
        <w:t>» или «</w:t>
      </w:r>
      <w:r w:rsidRPr="00DD5E13">
        <w:rPr>
          <w:b/>
          <w:bCs/>
          <w:sz w:val="20"/>
          <w:szCs w:val="20"/>
        </w:rPr>
        <w:t>лилипутов</w:t>
      </w:r>
      <w:r w:rsidRPr="00DD5E13">
        <w:rPr>
          <w:sz w:val="20"/>
          <w:szCs w:val="20"/>
        </w:rPr>
        <w:t>».</w:t>
      </w:r>
      <w:r w:rsidRPr="00DD5E13">
        <w:rPr>
          <w:sz w:val="20"/>
          <w:szCs w:val="20"/>
        </w:rPr>
        <w:t xml:space="preserve"> </w:t>
      </w:r>
      <w:r w:rsidRPr="00DD5E13">
        <w:rPr>
          <w:sz w:val="20"/>
          <w:szCs w:val="20"/>
        </w:rPr>
        <w:t>Первое подчеркивало принудительный характер механической деформации гибкого субстрата жестким ферментом.</w:t>
      </w:r>
      <w:r w:rsidRPr="00DD5E13">
        <w:rPr>
          <w:sz w:val="20"/>
          <w:szCs w:val="20"/>
        </w:rPr>
        <w:t xml:space="preserve"> </w:t>
      </w:r>
      <w:r w:rsidRPr="00DD5E13">
        <w:rPr>
          <w:sz w:val="20"/>
          <w:szCs w:val="20"/>
        </w:rPr>
        <w:t xml:space="preserve"> Второе название указывает на то, что слабые </w:t>
      </w:r>
      <w:proofErr w:type="spellStart"/>
      <w:r w:rsidRPr="00DD5E13">
        <w:rPr>
          <w:sz w:val="20"/>
          <w:szCs w:val="20"/>
        </w:rPr>
        <w:t>нековалентные</w:t>
      </w:r>
      <w:proofErr w:type="spellEnd"/>
      <w:r w:rsidRPr="00DD5E13">
        <w:rPr>
          <w:sz w:val="20"/>
          <w:szCs w:val="20"/>
        </w:rPr>
        <w:t xml:space="preserve"> взаимодействия субстрата и активного центра обеспечивают дестабилизацию субстрата и перевод его в высокоэнергетическое переходное состояние.</w:t>
      </w:r>
    </w:p>
    <w:p w:rsidR="007963C9" w:rsidRPr="00DD5E13" w:rsidRDefault="007963C9" w:rsidP="00DD5E13">
      <w:pPr>
        <w:pStyle w:val="a3"/>
        <w:spacing w:before="150" w:beforeAutospacing="0" w:after="150" w:afterAutospacing="0"/>
        <w:ind w:left="150" w:right="150"/>
        <w:jc w:val="both"/>
        <w:rPr>
          <w:sz w:val="20"/>
          <w:szCs w:val="20"/>
        </w:rPr>
      </w:pPr>
      <w:r w:rsidRPr="00DD5E13">
        <w:rPr>
          <w:rStyle w:val="a5"/>
          <w:sz w:val="20"/>
          <w:szCs w:val="20"/>
          <w:shd w:val="clear" w:color="auto" w:fill="FFFFFF"/>
        </w:rPr>
        <w:t>Теория «дыбы»</w:t>
      </w:r>
      <w:r w:rsidRPr="00DD5E13">
        <w:rPr>
          <w:sz w:val="20"/>
          <w:szCs w:val="20"/>
          <w:shd w:val="clear" w:color="auto" w:fill="FFFFFF"/>
        </w:rPr>
        <w:t> основана на представлениях Г. К. Эйлера, изучав</w:t>
      </w:r>
      <w:r w:rsidRPr="00DD5E13">
        <w:rPr>
          <w:sz w:val="20"/>
          <w:szCs w:val="20"/>
          <w:shd w:val="clear" w:color="auto" w:fill="FFFFFF"/>
        </w:rPr>
        <w:softHyphen/>
        <w:t>шего действие гидролитических ферментов. По этой теории фермент связывается с молекулой субстрата в двух точках, при этом происходит растяжение химической связи, перераспределение элек</w:t>
      </w:r>
      <w:r w:rsidRPr="00DD5E13">
        <w:rPr>
          <w:sz w:val="20"/>
          <w:szCs w:val="20"/>
          <w:shd w:val="clear" w:color="auto" w:fill="FFFFFF"/>
        </w:rPr>
        <w:softHyphen/>
        <w:t>тронной плотности и разрыв химической связи, сопровождающий</w:t>
      </w:r>
      <w:r w:rsidRPr="00DD5E13">
        <w:rPr>
          <w:sz w:val="20"/>
          <w:szCs w:val="20"/>
          <w:shd w:val="clear" w:color="auto" w:fill="FFFFFF"/>
        </w:rPr>
        <w:softHyphen/>
        <w:t>ся присоединением воды. Субстрат до присоединения к ферменту имеет «расслабленную» конфигурацию. После связывания с активным центром молекула субстрата подвергается растяжению и деформации (располагается в активном центре как на дыбе). Чем больше длина химических связей в субстрате, тем легче они разрываются и тем меньше энергия активации химической реакции.</w:t>
      </w:r>
    </w:p>
    <w:p w:rsidR="00132B50" w:rsidRPr="00DD5E13" w:rsidRDefault="00132B50" w:rsidP="00132B50">
      <w:pPr>
        <w:pStyle w:val="a3"/>
        <w:shd w:val="clear" w:color="auto" w:fill="FFFFFF"/>
        <w:spacing w:before="0" w:beforeAutospacing="0" w:after="91" w:afterAutospacing="0"/>
        <w:jc w:val="center"/>
        <w:rPr>
          <w:sz w:val="20"/>
          <w:szCs w:val="20"/>
        </w:rPr>
      </w:pPr>
      <w:r w:rsidRPr="00DD5E13">
        <w:rPr>
          <w:sz w:val="20"/>
          <w:szCs w:val="20"/>
        </w:rPr>
        <w:t>Список литературы.</w:t>
      </w:r>
    </w:p>
    <w:p w:rsidR="00132B50" w:rsidRPr="00DD5E13" w:rsidRDefault="00132B50" w:rsidP="00132B50">
      <w:pPr>
        <w:pStyle w:val="a3"/>
        <w:shd w:val="clear" w:color="auto" w:fill="FFFFFF"/>
        <w:spacing w:before="0" w:beforeAutospacing="0" w:after="91" w:afterAutospacing="0"/>
        <w:rPr>
          <w:sz w:val="20"/>
          <w:szCs w:val="20"/>
        </w:rPr>
      </w:pPr>
      <w:r w:rsidRPr="00DD5E13">
        <w:rPr>
          <w:sz w:val="20"/>
          <w:szCs w:val="20"/>
        </w:rPr>
        <w:t>1. Г.Е. Владимиров, С.Н. Лызлова «Энзимология» Ленинград: из-во Ленинградского университета 1962г</w:t>
      </w:r>
    </w:p>
    <w:p w:rsidR="00132B50" w:rsidRPr="00DD5E13" w:rsidRDefault="00132B50" w:rsidP="00132B50">
      <w:pPr>
        <w:pStyle w:val="a3"/>
        <w:shd w:val="clear" w:color="auto" w:fill="FFFFFF"/>
        <w:spacing w:before="0" w:beforeAutospacing="0" w:after="91" w:afterAutospacing="0"/>
        <w:rPr>
          <w:sz w:val="20"/>
          <w:szCs w:val="20"/>
        </w:rPr>
      </w:pPr>
      <w:r w:rsidRPr="00DD5E13">
        <w:rPr>
          <w:sz w:val="20"/>
          <w:szCs w:val="20"/>
        </w:rPr>
        <w:t xml:space="preserve">2. Г. </w:t>
      </w:r>
      <w:proofErr w:type="spellStart"/>
      <w:r w:rsidRPr="00DD5E13">
        <w:rPr>
          <w:sz w:val="20"/>
          <w:szCs w:val="20"/>
        </w:rPr>
        <w:t>Дюга</w:t>
      </w:r>
      <w:proofErr w:type="spellEnd"/>
      <w:r w:rsidRPr="00DD5E13">
        <w:rPr>
          <w:sz w:val="20"/>
          <w:szCs w:val="20"/>
        </w:rPr>
        <w:t>, К. Пенни «биоорганическая химия» М.: «Мир» 1983г</w:t>
      </w:r>
    </w:p>
    <w:p w:rsidR="00132B50" w:rsidRPr="00DD5E13" w:rsidRDefault="00132B50" w:rsidP="00132B50">
      <w:pPr>
        <w:pStyle w:val="a3"/>
        <w:shd w:val="clear" w:color="auto" w:fill="FFFFFF"/>
        <w:spacing w:before="0" w:beforeAutospacing="0" w:after="91" w:afterAutospacing="0"/>
        <w:rPr>
          <w:sz w:val="20"/>
          <w:szCs w:val="20"/>
        </w:rPr>
      </w:pPr>
      <w:r w:rsidRPr="00DD5E13">
        <w:rPr>
          <w:sz w:val="20"/>
          <w:szCs w:val="20"/>
        </w:rPr>
        <w:t xml:space="preserve">3. С. </w:t>
      </w:r>
      <w:proofErr w:type="spellStart"/>
      <w:r w:rsidRPr="00DD5E13">
        <w:rPr>
          <w:sz w:val="20"/>
          <w:szCs w:val="20"/>
        </w:rPr>
        <w:t>Бернхард</w:t>
      </w:r>
      <w:proofErr w:type="spellEnd"/>
      <w:r w:rsidRPr="00DD5E13">
        <w:rPr>
          <w:sz w:val="20"/>
          <w:szCs w:val="20"/>
        </w:rPr>
        <w:t xml:space="preserve"> «Структура и функция ферментов». М.: «Мир» 1971г</w:t>
      </w:r>
    </w:p>
    <w:p w:rsidR="00132B50" w:rsidRPr="00DD5E13" w:rsidRDefault="00132B50" w:rsidP="007963C9">
      <w:pPr>
        <w:pStyle w:val="a3"/>
        <w:spacing w:before="150" w:beforeAutospacing="0" w:after="150" w:afterAutospacing="0"/>
        <w:ind w:left="150" w:right="150"/>
        <w:jc w:val="both"/>
        <w:rPr>
          <w:sz w:val="20"/>
          <w:szCs w:val="20"/>
        </w:rPr>
      </w:pPr>
    </w:p>
    <w:p w:rsidR="007963C9" w:rsidRPr="00DD5E13" w:rsidRDefault="007963C9">
      <w:pPr>
        <w:rPr>
          <w:rFonts w:ascii="Times New Roman" w:hAnsi="Times New Roman" w:cs="Times New Roman"/>
          <w:sz w:val="20"/>
          <w:szCs w:val="20"/>
        </w:rPr>
      </w:pPr>
    </w:p>
    <w:sectPr w:rsidR="007963C9" w:rsidRPr="00DD5E13" w:rsidSect="007963C9">
      <w:pgSz w:w="16838" w:h="11906" w:orient="landscape"/>
      <w:pgMar w:top="1134" w:right="1134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FF6EA1"/>
    <w:multiLevelType w:val="hybridMultilevel"/>
    <w:tmpl w:val="FE6E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3C9"/>
    <w:rsid w:val="00053EB4"/>
    <w:rsid w:val="00132B50"/>
    <w:rsid w:val="001E2238"/>
    <w:rsid w:val="007963C9"/>
    <w:rsid w:val="00DD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C2D70-043B-4E0F-8E2D-A1FF0059F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6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63C9"/>
    <w:rPr>
      <w:b/>
      <w:bCs/>
    </w:rPr>
  </w:style>
  <w:style w:type="character" w:styleId="a5">
    <w:name w:val="Emphasis"/>
    <w:basedOn w:val="a0"/>
    <w:uiPriority w:val="20"/>
    <w:qFormat/>
    <w:rsid w:val="007963C9"/>
    <w:rPr>
      <w:i/>
      <w:iCs/>
    </w:rPr>
  </w:style>
  <w:style w:type="paragraph" w:styleId="a6">
    <w:name w:val="List Paragraph"/>
    <w:basedOn w:val="a"/>
    <w:uiPriority w:val="34"/>
    <w:qFormat/>
    <w:rsid w:val="00132B50"/>
    <w:pPr>
      <w:ind w:left="720"/>
      <w:contextualSpacing/>
    </w:pPr>
  </w:style>
  <w:style w:type="character" w:customStyle="1" w:styleId="bluefat">
    <w:name w:val="bluefat"/>
    <w:basedOn w:val="a0"/>
    <w:rsid w:val="0013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2017-10-22T12:32:00Z</dcterms:created>
  <dcterms:modified xsi:type="dcterms:W3CDTF">2017-10-22T12:32:00Z</dcterms:modified>
</cp:coreProperties>
</file>